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9.png" ContentType="image/png"/>
  <Override PartName="/word/media/image10.png" ContentType="image/png"/>
  <Override PartName="/word/media/image13.png" ContentType="image/png"/>
  <Override PartName="/word/media/image8.png" ContentType="image/png"/>
  <Override PartName="/word/media/image12.png" ContentType="image/png"/>
  <Override PartName="/word/media/image7.png" ContentType="image/png"/>
  <Override PartName="/word/media/image19.png" ContentType="image/png"/>
  <Override PartName="/word/media/image1.png" ContentType="image/png"/>
  <Override PartName="/word/media/image18.png" ContentType="image/png"/>
  <Override PartName="/word/media/image17.png" ContentType="image/png"/>
  <Override PartName="/word/media/image16.png" ContentType="image/png"/>
  <Override PartName="/word/media/image15.png" ContentType="image/png"/>
  <Override PartName="/word/media/image14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1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60" w:before="0" w:after="280"/>
        <w:rPr>
          <w:sz w:val="32"/>
          <w:szCs w:val="32"/>
        </w:rPr>
      </w:pPr>
      <w:r>
        <w:rPr>
          <w:sz w:val="32"/>
          <w:szCs w:val="32"/>
        </w:rPr>
        <w:t>Итоги социально-экономического развития Брянской области в</w:t>
      </w:r>
      <w:r>
        <w:rPr>
          <w:sz w:val="32"/>
          <w:szCs w:val="32"/>
          <w:lang w:val="en-US"/>
        </w:rPr>
        <w:t> </w:t>
      </w:r>
      <w:r>
        <w:rPr>
          <w:sz w:val="32"/>
          <w:szCs w:val="32"/>
        </w:rPr>
        <w:t>2025 году</w:t>
      </w:r>
      <w:bookmarkStart w:id="0" w:name="_GoBack"/>
      <w:bookmarkEnd w:id="0"/>
    </w:p>
    <w:p>
      <w:pPr>
        <w:pStyle w:val="Normal"/>
        <w:spacing w:lineRule="auto" w:line="36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Объем валового регионального продукта в 2024 году составил 724,2 млрд руб., индекс физического объема — 101,0% к уровню 2023 года (в сопоставимых ценах). В 2025 году ВРП оценивается в 771,0 млрд руб. (102,5% к уровню 2024 года). </w:t>
      </w:r>
    </w:p>
    <w:p>
      <w:pPr>
        <w:pStyle w:val="Normal"/>
        <w:spacing w:lineRule="auto" w:line="36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Ведущими видами экономической деятельности являются обрабатывающие производства; сельское, лесное хозяйство, охота, рыболовство и рыбоводство; торговля оптовая и розничная, ремонт автотранспортных средств и мотоциклов; деятельность по операциям с недвижимым имуществом; транспортировка и хранение; государственное управление и обеспечение военной безопасности, социальное обеспечение; деятельность в области здравоохранения и социальных услуг; образование; строительство, на долю которых приходится 89,0% произведенного ВРП.</w:t>
      </w:r>
    </w:p>
    <w:p>
      <w:pPr>
        <w:pStyle w:val="Heading1"/>
        <w:spacing w:lineRule="auto" w:line="360" w:before="280" w:after="280"/>
        <w:rPr/>
      </w:pPr>
      <w:r>
        <w:rPr/>
        <w:t>Объем ВРП</w:t>
      </w:r>
    </w:p>
    <w:p>
      <w:pPr>
        <w:pStyle w:val="Heading1"/>
        <w:spacing w:lineRule="auto" w:line="360" w:before="280" w:after="28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7781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keepNext w:val="true"/>
        <w:spacing w:lineRule="auto" w:line="360" w:before="280" w:after="280"/>
        <w:rPr/>
      </w:pPr>
      <w:r>
        <w:rPr/>
      </w:r>
    </w:p>
    <w:p>
      <w:pPr>
        <w:pStyle w:val="Heading1"/>
        <w:spacing w:lineRule="auto" w:line="360" w:before="280" w:after="280"/>
        <w:rPr/>
      </w:pPr>
      <w:r>
        <w:rPr/>
      </w:r>
    </w:p>
    <w:p>
      <w:pPr>
        <w:pStyle w:val="Heading1"/>
        <w:spacing w:lineRule="auto" w:line="360" w:before="280" w:after="280"/>
        <w:rPr/>
      </w:pPr>
      <w:r>
        <w:rPr/>
      </w:r>
    </w:p>
    <w:p>
      <w:pPr>
        <w:pStyle w:val="Heading1"/>
        <w:spacing w:lineRule="auto" w:line="360" w:before="280" w:after="280"/>
        <w:rPr/>
      </w:pPr>
      <w:r>
        <w:rPr/>
        <w:t>Динамика темпов роста ВРП</w:t>
      </w:r>
    </w:p>
    <w:p>
      <w:pPr>
        <w:pStyle w:val="Heading1"/>
        <w:keepNext w:val="true"/>
        <w:spacing w:lineRule="auto" w:line="360" w:before="280" w:after="280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08356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3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false"/>
          <w:sz w:val="24"/>
          <w:szCs w:val="24"/>
        </w:rPr>
        <w:t>Промышленными предприятиями Брянской области отгружено товаров собственного производства на 559,2 млрд руб. Индекс промышленного производства составил 98,1%.</w:t>
      </w:r>
    </w:p>
    <w:p>
      <w:pPr>
        <w:pStyle w:val="Heading1"/>
        <w:keepNext w:val="true"/>
        <w:spacing w:lineRule="auto" w:line="360" w:before="280" w:after="280"/>
        <w:rPr/>
      </w:pPr>
      <w:r>
        <w:rPr/>
        <w:t>Объем отгруженных товаров собственного производства, выполненных работ и услуг собственными силами</w:t>
      </w:r>
    </w:p>
    <w:p>
      <w:pPr>
        <w:pStyle w:val="Heading1"/>
        <w:spacing w:lineRule="auto" w:line="360" w:before="280" w:after="280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89750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keepNext w:val="true"/>
        <w:spacing w:lineRule="auto" w:line="360" w:before="280" w:after="280"/>
        <w:rPr/>
      </w:pPr>
      <w:r>
        <w:rPr/>
        <w:t>Динамика индексов промышленного производства</w:t>
      </w:r>
    </w:p>
    <w:p>
      <w:pPr>
        <w:pStyle w:val="Normal"/>
        <w:spacing w:lineRule="auto" w:line="360" w:before="0" w:after="0"/>
        <w:jc w:val="both"/>
        <w:rPr/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076575"/>
            <wp:effectExtent l="0" t="0" r="0" b="0"/>
            <wp:wrapSquare wrapText="largest"/>
            <wp:docPr id="4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Увеличился выпуск продукции по видам деятельности: производство лекарственных средств и материалов, применяемых в медицинских целях и ветеринарии — на 43,9%; ремонт и монтаж машин и оборудования — на 14,9%; производство мебели — на 14,7%; производство электрического оборудования — на 5,7%; производство пищевых  продуктов — на 4,2%; производство химических веществ и химических продуктов — на 2,4 %; производство прочих готовых изделий — на 2,0%.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Снижение индекса производства к уровню 2024 года отмечено в деятельности полиграфической и копировании носителей информации, где индекс производства составил 97,1%; в производстве бумаги и бумажных изделий — 96,1%; в производстве машин и оборудования, не включенных в другие группировки — 93,3%; в производстве одежды — 92,4%; в производстве резиновых и пластмассовых изделий — 91,1%; в производстве компьютеров, электронных и оптических изделий — 90,5%; в производстве прочей неметаллической минеральной продукции — 90,2%; в производстве текстильных изделий — 90,0%; в производстве автотранспортных средств, прицепов</w:t>
        <w:br/>
        <w:t>и полуприцепов — 89,8%; в производстве напитков — 88,0%; в производстве табачных изделий — 86,9%; в производстве прочих транспортных средств и оборудования — 86,0%; в производстве готовых металлических изделий, кроме машин и оборудования — 84,3%; в обработке древесины и производстве изделий из дерева и пробки, кроме мебели, производстве изделий из соломки и материалов для плетения — 78,8%; в металлургическом производстве — 72,4%; в производстве кожи и изделий из кожи — 20,2%.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2025 году объем производства продукции сельского хозяйства в хозяйствах всех категорий составил 185,3 млрд руб., или 101,5% в сопоставимых ценах к уровню 2024 года, в том числе продукции растениеводства — 88,1 млрд руб. (105,9%), продукции животноводства — 97,2 млрд руб. (97,7%).</w:t>
      </w:r>
    </w:p>
    <w:p>
      <w:pPr>
        <w:pStyle w:val="Heading1"/>
        <w:keepNext w:val="true"/>
        <w:spacing w:lineRule="auto" w:line="360" w:before="280" w:after="280"/>
        <w:rPr/>
      </w:pPr>
      <w:r>
        <w:rPr/>
        <w:t>Производство продукции сельского хозяйства</w:t>
      </w:r>
    </w:p>
    <w:p>
      <w:pPr>
        <w:pStyle w:val="Heading1"/>
        <w:spacing w:lineRule="auto" w:line="360" w:before="280" w:after="280"/>
        <w:rPr/>
      </w:pPr>
      <w:r>
        <w:rPr/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837815"/>
            <wp:effectExtent l="0" t="0" r="0" b="0"/>
            <wp:wrapSquare wrapText="largest"/>
            <wp:docPr id="5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Динамика индексов производства продукции сельского хозяйства (в</w:t>
      </w:r>
      <w:r>
        <w:rPr>
          <w:lang w:val="en-US"/>
        </w:rPr>
        <w:t> </w:t>
      </w:r>
      <w:r>
        <w:rPr/>
        <w:t xml:space="preserve"> </w:t>
      </w:r>
      <w: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17145</wp:posOffset>
            </wp:positionH>
            <wp:positionV relativeFrom="paragraph">
              <wp:posOffset>3940810</wp:posOffset>
            </wp:positionV>
            <wp:extent cx="5940425" cy="2978150"/>
            <wp:effectExtent l="0" t="0" r="0" b="0"/>
            <wp:wrapSquare wrapText="largest"/>
            <wp:docPr id="6" name="Изображение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хозяйствах всех категорий)</w:t>
      </w:r>
    </w:p>
    <w:p>
      <w:pPr>
        <w:pStyle w:val="Normal"/>
        <w:spacing w:lineRule="auto" w:line="36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2025 году по категориям хозяйств сложилась следующая структура производства: 75,7% продукции произведено сельскохозяйственными организациями, 15,8% — хозяйствами населения и 8,5% — крестьянскими (фермерскими) хозяйствами.</w:t>
      </w:r>
    </w:p>
    <w:p>
      <w:pPr>
        <w:pStyle w:val="Heading1"/>
        <w:keepNext w:val="true"/>
        <w:spacing w:lineRule="auto" w:line="360" w:before="280" w:after="280"/>
        <w:rPr/>
      </w:pPr>
      <w:r>
        <w:rPr/>
        <w:t>Структура продукции сельского хозяйства по категориям хозяйств (в фактически действовавших ценах; в % от хозяйств всех категорий)</w:t>
      </w:r>
    </w:p>
    <w:p>
      <w:pPr>
        <w:pStyle w:val="Normal"/>
        <w:spacing w:lineRule="auto" w:line="36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178810"/>
            <wp:effectExtent l="0" t="0" r="0" b="0"/>
            <wp:wrapSquare wrapText="largest"/>
            <wp:docPr id="7" name="Изображение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2025 году в хозяйствах всех категорий валовой сбор зерна (в первоначально-оприходованном весе) составил 1884,0 тыс. тонн, или 101,6% к уровню 2024 года, картофеля 1621,4 тыс. тонн (129,3%), овощей — 116,4 тыс. тонн (108,4%).</w:t>
      </w:r>
    </w:p>
    <w:p>
      <w:pPr>
        <w:pStyle w:val="Normal"/>
        <w:spacing w:lineRule="auto" w:line="360" w:before="0" w:after="283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Объем инвестиций в основной капитал за счет всех источников финансирования в 2025 году составил 102,99 млрд руб., или 78,9% к уровню 2024 года (в сопоставимых ценах).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структуре инвестиций в основной капитал по источникам финансирования 58,2% занимали собственные средства. В видовой структуре инвестиций основной объем занимали инвестиции в машины и оборудование, включая хозяйственный инвентарь и другие объекты — 45,6%.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Heading1"/>
        <w:keepNext w:val="true"/>
        <w:spacing w:lineRule="auto" w:line="360" w:before="0" w:after="0"/>
        <w:rPr/>
      </w:pPr>
      <w:r>
        <w:rPr/>
        <w:t>Объем инвестиций в основной капитал</w:t>
      </w:r>
    </w:p>
    <w:p>
      <w:pPr>
        <w:pStyle w:val="Heading1"/>
        <w:spacing w:lineRule="auto" w:line="360" w:before="0" w:after="0"/>
        <w:rPr/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69895"/>
            <wp:effectExtent l="0" t="0" r="0" b="0"/>
            <wp:wrapSquare wrapText="largest"/>
            <wp:docPr id="8" name="Изображение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Динамика индексов физического объема инвестиций в основной капитал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drawing>
          <wp:anchor behindDoc="0" distT="0" distB="0" distL="0" distR="0" simplePos="0" locked="0" layoutInCell="0" allowOverlap="1" relativeHeight="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74340"/>
            <wp:effectExtent l="0" t="0" r="0" b="0"/>
            <wp:wrapSquare wrapText="largest"/>
            <wp:docPr id="9" name="Изображение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Объем работ, выполненных по виду деятельности «строительство», в 2025 году составил 48,4 млрд руб., или 97,3% к уровню 2024 года (в сопоставимых ценах). </w:t>
      </w:r>
    </w:p>
    <w:p>
      <w:pPr>
        <w:pStyle w:val="Heading1"/>
        <w:keepNext w:val="true"/>
        <w:spacing w:lineRule="auto" w:line="360" w:before="280" w:after="280"/>
        <w:rPr/>
      </w:pPr>
      <w:r>
        <w:rPr/>
        <w:t>Объем работ, выполненных по виду экономической деятельности «строительство»</w:t>
      </w:r>
    </w:p>
    <w:p>
      <w:pPr>
        <w:pStyle w:val="Heading1"/>
        <w:keepNext w:val="true"/>
        <w:spacing w:lineRule="auto" w:line="360" w:before="0" w:after="0"/>
        <w:rPr/>
      </w:pPr>
      <w:r>
        <w:drawing>
          <wp:anchor behindDoc="0" distT="0" distB="0" distL="0" distR="0" simplePos="0" locked="0" layoutInCell="0" allowOverlap="1" relativeHeight="1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34335"/>
            <wp:effectExtent l="0" t="0" r="0" b="0"/>
            <wp:wrapSquare wrapText="largest"/>
            <wp:docPr id="10" name="Изображение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Ввод в действие жилых домов</w:t>
      </w:r>
    </w:p>
    <w:p>
      <w:pPr>
        <w:pStyle w:val="Normal"/>
        <w:spacing w:lineRule="auto" w:line="360" w:before="0" w:after="0"/>
        <w:jc w:val="both"/>
        <w:rPr/>
      </w:pPr>
      <w:r>
        <w:drawing>
          <wp:anchor behindDoc="0" distT="0" distB="0" distL="0" distR="0" simplePos="0" locked="0" layoutInCell="0" allowOverlap="1" relativeHeight="1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015615"/>
            <wp:effectExtent l="0" t="0" r="0" b="0"/>
            <wp:wrapSquare wrapText="largest"/>
            <wp:docPr id="11" name="Изображение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Введено в эксплуатацию 467,9 тыс. кв. метров общей площади жилых домов, или 76,8% к уровню 2024 года.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Оборот розничной торговли за 2025 год составил 421,0 млрд руб., что на 3,1% больше, чем за 2024 год (в сопоставимых ценах). В структуре оборота розничной торговли доля продовольственных товаров составила 48,8%, непродовольственных — 51,2%.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2025 году населению оказано платных услуг на сумму 89,8 млрд руб., или 100,7% к уровню 2024 года (в сопоставимых ценах). В структуре объема платных услуг населению 69,9% приходилось на коммунальные, бытовые, телекоммуникационные и транспортные услуги.</w:t>
      </w:r>
    </w:p>
    <w:p>
      <w:pPr>
        <w:pStyle w:val="Heading1"/>
        <w:keepNext w:val="true"/>
        <w:spacing w:lineRule="auto" w:line="360" w:before="283" w:after="283"/>
        <w:rPr/>
      </w:pPr>
      <w:r>
        <w:rPr/>
        <w:t>Динамика темпов роста оборота розничной торговли</w:t>
      </w:r>
    </w:p>
    <w:p>
      <w:pPr>
        <w:pStyle w:val="Heading1"/>
        <w:spacing w:lineRule="auto" w:line="360" w:before="0" w:after="283"/>
        <w:rPr/>
      </w:pPr>
      <w:r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82595"/>
            <wp:effectExtent l="0" t="0" r="0" b="0"/>
            <wp:wrapSquare wrapText="largest"/>
            <wp:docPr id="12" name="Изображение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Динамика темпов роста объема платных услуг населению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Индекс потребительских цен в среднегодовом исчислении за 2025 год составил 109,4% к 2024 году, за декабрь 2025 года к декабрю 2024 года </w:t>
      </w:r>
      <w:r>
        <w:rPr>
          <w:rFonts w:eastAsia="Times New Roman"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  <w:lang w:eastAsia="ru-RU"/>
        </w:rPr>
        <w:t>—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106,1%.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drawing>
          <wp:anchor behindDoc="0" distT="0" distB="0" distL="0" distR="0" simplePos="0" locked="0" layoutInCell="0" allowOverlap="1" relativeHeight="1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44495"/>
            <wp:effectExtent l="0" t="0" r="0" b="0"/>
            <wp:wrapSquare wrapText="largest"/>
            <wp:docPr id="13" name="Изображение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3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keepNext w:val="true"/>
        <w:spacing w:lineRule="auto" w:line="360" w:before="280" w:after="280"/>
        <w:rPr>
          <w:lang w:val="en-US"/>
        </w:rPr>
      </w:pPr>
      <w:r>
        <w:rPr/>
        <w:t>Индекс потребительских цен</w:t>
      </w:r>
    </w:p>
    <w:p>
      <w:pPr>
        <w:pStyle w:val="Normal"/>
        <w:spacing w:lineRule="auto" w:line="36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drawing>
          <wp:anchor behindDoc="0" distT="0" distB="0" distL="0" distR="0" simplePos="0" locked="0" layoutInCell="0" allowOverlap="1" relativeHeight="1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82595"/>
            <wp:effectExtent l="0" t="0" r="0" b="0"/>
            <wp:wrapSquare wrapText="largest"/>
            <wp:docPr id="14" name="Изображение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4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 2025 год крупными и средними предприятиями и организациями области по всем видам экономической деятельности получен положительный сальдированный финансовый результат в сумме 89,6 млрд руб. Удельный вес убыточных предприятий в целом по области составил 26,6%.</w:t>
      </w:r>
    </w:p>
    <w:p>
      <w:pPr>
        <w:pStyle w:val="Heading1"/>
        <w:keepNext w:val="true"/>
        <w:spacing w:lineRule="auto" w:line="360" w:beforeAutospacing="0" w:before="0" w:afterAutospacing="0" w:after="283"/>
        <w:rPr/>
      </w:pPr>
      <w:r>
        <w:rPr>
          <w:rFonts w:eastAsia="Times New Roman" w:cs="Times New Roman"/>
          <w:sz w:val="24"/>
          <w:szCs w:val="24"/>
          <w:lang w:eastAsia="ru-RU"/>
        </w:rPr>
        <w:t>Финансовые результаты деятельности организаций Брянской области (без субъектов малого предпринимательства)</w:t>
      </w:r>
    </w:p>
    <w:p>
      <w:pPr>
        <w:pStyle w:val="Heading1"/>
        <w:spacing w:lineRule="auto" w:line="360" w:beforeAutospacing="0" w:before="0" w:afterAutospacing="0" w:after="0"/>
        <w:rPr/>
      </w:pPr>
      <w:r>
        <w:rPr/>
        <w:drawing>
          <wp:anchor behindDoc="0" distT="0" distB="0" distL="0" distR="0" simplePos="0" locked="0" layoutInCell="0" allowOverlap="1" relativeHeight="1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117215"/>
            <wp:effectExtent l="0" t="0" r="0" b="0"/>
            <wp:wrapSquare wrapText="largest"/>
            <wp:docPr id="15" name="Изображение1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5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1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keepNext w:val="true"/>
        <w:spacing w:lineRule="auto" w:line="360" w:before="280" w:after="280"/>
        <w:rPr/>
      </w:pPr>
      <w:r>
        <w:rPr/>
        <w:t>Удельный вес убыточных предприятий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drawing>
          <wp:anchor behindDoc="0" distT="0" distB="0" distL="0" distR="0" simplePos="0" locked="0" layoutInCell="0" allowOverlap="1" relativeHeight="1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17190"/>
            <wp:effectExtent l="0" t="0" r="0" b="0"/>
            <wp:wrapSquare wrapText="largest"/>
            <wp:docPr id="16" name="Изображение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6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Кредиторская задолженность в целом по области по состоянию на 1 января 2026 года составила 287,2 млрд руб., из нее просроченная — 5,0 млрд руб. (1,7% в общей сумме задолженности).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  <w:t>Дебиторская задолженность на 1 января 2026 года составила 224,7 млрд руб., из нее просроченная – 4,9 млрд руб. (2,2% в общей сумме задолженности).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  <w:t>Номинальная начисленная среднемесячная заработная плата за 2025 год составила 65803,0 руб., что на 12,8% больше уровня 2024 года. Реальная заработная плата составила 103,1% к уровню 2024 года.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  <w:t>Денежные доходы в расчете на душу населения сложились в сумме 55937,8 руб. в месяц, что на 15,3% больше уровня 2024 года. Реальные среднедушевые денежные доходы населения составили 105,4% к уровню 2024 года.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rPr/>
      </w:r>
    </w:p>
    <w:p>
      <w:pPr>
        <w:pStyle w:val="Heading1"/>
        <w:spacing w:lineRule="auto" w:line="360" w:before="280" w:after="280"/>
        <w:rPr/>
      </w:pPr>
      <w:r>
        <w:rPr/>
        <w:t>Номинальная начисленная среднемесячная заработная плата, денежные доходы на душу населения</w:t>
      </w:r>
    </w:p>
    <w:p>
      <w:pPr>
        <w:pStyle w:val="Heading1"/>
        <w:keepNext w:val="true"/>
        <w:spacing w:lineRule="auto" w:line="360" w:before="280" w:after="280"/>
        <w:rPr/>
      </w:pPr>
      <w:r>
        <w:drawing>
          <wp:anchor behindDoc="0" distT="0" distB="0" distL="0" distR="0" simplePos="0" locked="0" layoutInCell="0" allowOverlap="1" relativeHeight="1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987040"/>
            <wp:effectExtent l="0" t="0" r="0" b="0"/>
            <wp:wrapSquare wrapText="largest"/>
            <wp:docPr id="17" name="Изображение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7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Реальная начисленная заработная плата одного работника, реальные среднедушевые денежные доходы населения</w:t>
      </w:r>
    </w:p>
    <w:p>
      <w:pPr>
        <w:pStyle w:val="NormalWeb"/>
        <w:spacing w:lineRule="auto" w:line="360" w:beforeAutospacing="0" w:before="0" w:afterAutospacing="0" w:after="0"/>
        <w:jc w:val="both"/>
        <w:rPr/>
      </w:pPr>
      <w:r>
        <w:drawing>
          <wp:anchor behindDoc="0" distT="0" distB="0" distL="0" distR="0" simplePos="0" locked="0" layoutInCell="0" allowOverlap="1" relativeHeight="1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115310"/>
            <wp:effectExtent l="0" t="0" r="0" b="0"/>
            <wp:wrapSquare wrapText="largest"/>
            <wp:docPr id="18" name="Изображение1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8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Численность официально зарегистрированных безработных на 1 января 2026 года составила 1665 человек (на 1 января 2025 года </w:t>
      </w:r>
      <w:r>
        <w:rPr>
          <w:caps w:val="false"/>
          <w:smallCaps w:val="false"/>
          <w:color w:val="333333"/>
          <w:spacing w:val="0"/>
        </w:rPr>
        <w:t>—</w:t>
      </w:r>
      <w:r>
        <w:rPr/>
        <w:t xml:space="preserve"> 1595 человек). Уровень официально зарегистрированной безработицы составил 0,3% к численности рабочей силы (на 1 января 2025 года </w:t>
      </w:r>
      <w:r>
        <w:rPr>
          <w:caps w:val="false"/>
          <w:smallCaps w:val="false"/>
          <w:color w:val="333333"/>
          <w:spacing w:val="0"/>
        </w:rPr>
        <w:t>—</w:t>
      </w:r>
      <w:r>
        <w:rPr/>
        <w:t xml:space="preserve"> 0,3%).</w:t>
      </w:r>
    </w:p>
    <w:p>
      <w:pPr>
        <w:pStyle w:val="Heading1"/>
        <w:keepNext w:val="true"/>
        <w:spacing w:lineRule="auto" w:line="360" w:before="280" w:after="280"/>
        <w:rPr/>
      </w:pPr>
      <w:r>
        <w:rPr/>
        <w:t>Уровень регистрируемой безработицы (на конец года)</w:t>
      </w:r>
    </w:p>
    <w:p>
      <w:pPr>
        <w:pStyle w:val="Normal"/>
        <w:spacing w:lineRule="auto" w:line="360" w:beforeAutospacing="1" w:afterAutospacing="1"/>
        <w:rPr/>
      </w:pPr>
      <w:r>
        <w:rPr/>
        <w:drawing>
          <wp:anchor behindDoc="0" distT="0" distB="0" distL="0" distR="0" simplePos="0" locked="0" layoutInCell="0" allowOverlap="1" relativeHeight="1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2882265"/>
            <wp:effectExtent l="0" t="0" r="0" b="0"/>
            <wp:wrapSquare wrapText="largest"/>
            <wp:docPr id="19" name="Изображение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9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w:type="default" r:id="rId21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0611000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9"/>
    <w:qFormat/>
    <w:rsid w:val="00b36343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2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b36343"/>
    <w:rPr>
      <w:rFonts w:ascii="Times New Roman" w:hAnsi="Times New Roman" w:eastAsia="Times New Roman" w:cs="Times New Roman"/>
      <w:b/>
      <w:bCs/>
      <w:kern w:val="2"/>
      <w:sz w:val="28"/>
      <w:szCs w:val="48"/>
      <w:lang w:eastAsia="ru-RU"/>
    </w:rPr>
  </w:style>
  <w:style w:type="character" w:styleId="Nobr" w:customStyle="1">
    <w:name w:val="nobr"/>
    <w:basedOn w:val="DefaultParagraphFont"/>
    <w:qFormat/>
    <w:rsid w:val="00b36343"/>
    <w:rPr/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b36343"/>
    <w:rPr>
      <w:rFonts w:ascii="Tahoma" w:hAnsi="Tahoma" w:cs="Tahoma"/>
      <w:sz w:val="16"/>
      <w:szCs w:val="16"/>
    </w:rPr>
  </w:style>
  <w:style w:type="character" w:styleId="Symbols" w:customStyle="1">
    <w:name w:val="symbols"/>
    <w:basedOn w:val="DefaultParagraphFont"/>
    <w:qFormat/>
    <w:rsid w:val="000d7e6c"/>
    <w:rPr/>
  </w:style>
  <w:style w:type="character" w:styleId="Style9" w:customStyle="1">
    <w:name w:val="Верхний колонтитул Знак"/>
    <w:basedOn w:val="DefaultParagraphFont"/>
    <w:uiPriority w:val="99"/>
    <w:qFormat/>
    <w:rsid w:val="001a5832"/>
    <w:rPr/>
  </w:style>
  <w:style w:type="character" w:styleId="Style10" w:customStyle="1">
    <w:name w:val="Нижний колонтитул Знак"/>
    <w:basedOn w:val="DefaultParagraphFont"/>
    <w:uiPriority w:val="99"/>
    <w:qFormat/>
    <w:rsid w:val="001a5832"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uiPriority w:val="99"/>
    <w:unhideWhenUsed/>
    <w:qFormat/>
    <w:rsid w:val="00b3634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b3634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1a583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unhideWhenUsed/>
    <w:rsid w:val="001a583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4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image" Target="media/image16.png"/><Relationship Id="rId18" Type="http://schemas.openxmlformats.org/officeDocument/2006/relationships/image" Target="media/image17.png"/><Relationship Id="rId19" Type="http://schemas.openxmlformats.org/officeDocument/2006/relationships/image" Target="media/image18.png"/><Relationship Id="rId20" Type="http://schemas.openxmlformats.org/officeDocument/2006/relationships/image" Target="media/image19.png"/><Relationship Id="rId21" Type="http://schemas.openxmlformats.org/officeDocument/2006/relationships/footer" Target="footer1.xm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<Relationship Id="rId2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5B6BB-A2C2-448D-99AD-886B3C66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Application>AlterOffice/3.3.0.4$Linux_X86_64 LibreOffice_project/fa736b558560ebea8f92088bfd7720f4b3918f3f</Application>
  <AppVersion>15.0000</AppVersion>
  <Pages>12</Pages>
  <Words>911</Words>
  <Characters>6057</Characters>
  <CharactersWithSpaces>6965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2025-03-14T12:12:00Z</dcterms:created>
  <dc:creator>admin</dc:creator>
  <dc:description/>
  <dc:language>ru-RU</dc:language>
  <cp:lastModifiedBy>arshinovnm</cp:lastModifiedBy>
  <cp:lastPrinted>2024-04-19T13:01:00Z</cp:lastPrinted>
  <dcterms:modified xsi:type="dcterms:W3CDTF">2026-03-27T09:09:15Z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